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0F1" w:rsidRDefault="002760F1">
      <w:pPr>
        <w:widowControl/>
        <w:spacing w:line="1" w:lineRule="exact"/>
        <w:rPr>
          <w:sz w:val="2"/>
          <w:szCs w:val="2"/>
        </w:rPr>
      </w:pPr>
    </w:p>
    <w:p w:rsidR="002760F1" w:rsidRPr="00164120" w:rsidRDefault="002760F1" w:rsidP="002760F1">
      <w:pPr>
        <w:pStyle w:val="Style1"/>
        <w:widowControl/>
        <w:jc w:val="both"/>
        <w:rPr>
          <w:rStyle w:val="FontStyle11"/>
          <w:sz w:val="20"/>
        </w:rPr>
      </w:pPr>
      <w:r w:rsidRPr="00164120">
        <w:rPr>
          <w:rStyle w:val="FontStyle11"/>
          <w:sz w:val="20"/>
        </w:rPr>
        <w:t>Раздел 5. Основные характеристики инструментов капитала</w:t>
      </w:r>
    </w:p>
    <w:p w:rsidR="002760F1" w:rsidRDefault="002760F1">
      <w:pPr>
        <w:widowControl/>
        <w:autoSpaceDE/>
        <w:autoSpaceDN/>
        <w:adjustRightInd/>
        <w:spacing w:after="200" w:line="276" w:lineRule="auto"/>
        <w:rPr>
          <w:sz w:val="2"/>
          <w:szCs w:val="2"/>
        </w:rPr>
      </w:pPr>
    </w:p>
    <w:tbl>
      <w:tblPr>
        <w:tblW w:w="15452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4820"/>
        <w:gridCol w:w="3118"/>
        <w:gridCol w:w="6946"/>
      </w:tblGrid>
      <w:tr w:rsidR="003A386B" w:rsidRPr="00FD7FBB" w:rsidTr="003A386B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386B" w:rsidRPr="00FD7FBB" w:rsidRDefault="003A386B" w:rsidP="002760F1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Номер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386B" w:rsidRPr="00FD7FBB" w:rsidRDefault="003A386B" w:rsidP="007E0E34">
            <w:pPr>
              <w:pStyle w:val="Style4"/>
              <w:widowControl/>
              <w:jc w:val="center"/>
              <w:rPr>
                <w:sz w:val="28"/>
              </w:rPr>
            </w:pP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386B" w:rsidRPr="00FD7FBB" w:rsidRDefault="003A386B" w:rsidP="0039776D">
            <w:pPr>
              <w:pStyle w:val="Style3"/>
              <w:widowControl/>
              <w:spacing w:line="240" w:lineRule="auto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Описание</w:t>
            </w:r>
          </w:p>
          <w:p w:rsidR="003A386B" w:rsidRPr="00FD7FBB" w:rsidRDefault="003A386B" w:rsidP="0039776D">
            <w:pPr>
              <w:pStyle w:val="Style3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характеристики инструмента</w:t>
            </w: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386B" w:rsidRPr="00FD7FBB" w:rsidRDefault="003A386B" w:rsidP="003A386B">
            <w:pPr>
              <w:pStyle w:val="Style3"/>
              <w:widowControl/>
              <w:spacing w:line="240" w:lineRule="auto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Описание</w:t>
            </w:r>
          </w:p>
          <w:p w:rsidR="003A386B" w:rsidRPr="00FD7FBB" w:rsidRDefault="003A386B" w:rsidP="003A386B">
            <w:pPr>
              <w:pStyle w:val="Style3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характеристики инструмента</w:t>
            </w:r>
          </w:p>
        </w:tc>
      </w:tr>
      <w:tr w:rsidR="003A386B" w:rsidRPr="00FD7FBB" w:rsidTr="003A386B"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6B" w:rsidRPr="00FD7FBB" w:rsidRDefault="003A386B" w:rsidP="002760F1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строки</w:t>
            </w:r>
          </w:p>
        </w:tc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6B" w:rsidRPr="00FD7FBB" w:rsidRDefault="003A386B" w:rsidP="007E0E34">
            <w:pPr>
              <w:pStyle w:val="Style3"/>
              <w:widowControl/>
              <w:spacing w:line="240" w:lineRule="auto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Наименование характеристики инструмента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86B" w:rsidRPr="00FD7FBB" w:rsidRDefault="003A386B" w:rsidP="0039776D">
            <w:pPr>
              <w:pStyle w:val="Style3"/>
              <w:widowControl/>
              <w:rPr>
                <w:rStyle w:val="FontStyle11"/>
                <w:sz w:val="28"/>
              </w:rPr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86B" w:rsidRPr="00FD7FBB" w:rsidRDefault="003A386B" w:rsidP="003A386B">
            <w:pPr>
              <w:pStyle w:val="Style3"/>
              <w:widowControl/>
              <w:rPr>
                <w:rStyle w:val="FontStyle11"/>
                <w:sz w:val="28"/>
              </w:rPr>
            </w:pPr>
          </w:p>
        </w:tc>
      </w:tr>
      <w:tr w:rsidR="0081068B" w:rsidRPr="00FD7FBB" w:rsidTr="003A386B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81068B" w:rsidP="002760F1">
            <w:pPr>
              <w:pStyle w:val="Style3"/>
              <w:widowControl/>
              <w:spacing w:line="240" w:lineRule="auto"/>
              <w:ind w:left="341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81068B" w:rsidP="002760F1">
            <w:pPr>
              <w:pStyle w:val="Style3"/>
              <w:widowControl/>
              <w:spacing w:line="240" w:lineRule="auto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81068B" w:rsidP="002760F1">
            <w:pPr>
              <w:pStyle w:val="Style3"/>
              <w:widowControl/>
              <w:spacing w:line="240" w:lineRule="auto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81068B" w:rsidP="002760F1">
            <w:pPr>
              <w:pStyle w:val="Style3"/>
              <w:widowControl/>
              <w:spacing w:line="240" w:lineRule="auto"/>
              <w:rPr>
                <w:rStyle w:val="FontStyle11"/>
                <w:sz w:val="28"/>
              </w:rPr>
            </w:pPr>
            <w:r>
              <w:rPr>
                <w:rStyle w:val="FontStyle11"/>
                <w:sz w:val="28"/>
              </w:rPr>
              <w:t>4</w:t>
            </w:r>
          </w:p>
        </w:tc>
      </w:tr>
      <w:tr w:rsidR="0081068B" w:rsidRPr="00FD7FBB" w:rsidTr="003A386B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Сокращенное фирменное наименование эмитента инструмента капитала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4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БАНК "СКС" (ООО)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CC6946">
            <w:pPr>
              <w:pStyle w:val="Style4"/>
              <w:widowControl/>
              <w:jc w:val="center"/>
              <w:rPr>
                <w:sz w:val="28"/>
              </w:rPr>
            </w:pPr>
            <w:r w:rsidRPr="0081068B">
              <w:rPr>
                <w:sz w:val="28"/>
              </w:rPr>
              <w:t>ПАО "МОСКОВСКИЙ КРЕДИТНЫЙ БАНК"</w:t>
            </w:r>
          </w:p>
        </w:tc>
      </w:tr>
      <w:tr w:rsidR="0081068B" w:rsidRPr="00FD7FBB" w:rsidTr="003A386B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Идентификационный номер инструмента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4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CC6946">
            <w:pPr>
              <w:pStyle w:val="Style4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</w:tr>
      <w:tr w:rsidR="0081068B" w:rsidRPr="00FD7FBB" w:rsidTr="003A386B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Применимое право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4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Россия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Default="0081068B" w:rsidP="00CC6946">
            <w:pPr>
              <w:pStyle w:val="Style4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Россия</w:t>
            </w:r>
          </w:p>
        </w:tc>
      </w:tr>
      <w:tr w:rsidR="0081068B" w:rsidRPr="00FD7FBB" w:rsidTr="007E0E34">
        <w:tc>
          <w:tcPr>
            <w:tcW w:w="8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9C4C7D">
            <w:pPr>
              <w:pStyle w:val="Style3"/>
              <w:widowControl/>
              <w:spacing w:line="240" w:lineRule="auto"/>
              <w:ind w:firstLine="1134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Регулятивные условия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81068B" w:rsidP="009C4C7D">
            <w:pPr>
              <w:pStyle w:val="Style3"/>
              <w:widowControl/>
              <w:spacing w:line="240" w:lineRule="auto"/>
              <w:ind w:firstLine="1134"/>
              <w:jc w:val="left"/>
              <w:rPr>
                <w:rStyle w:val="FontStyle11"/>
                <w:sz w:val="28"/>
              </w:rPr>
            </w:pPr>
          </w:p>
        </w:tc>
      </w:tr>
      <w:tr w:rsidR="0081068B" w:rsidRPr="00FD7FBB" w:rsidTr="00CC694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5"/>
              <w:widowControl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Уровень капитала, в который инструмент включается в течение переходного периода «Базель III»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81068B">
            <w:pPr>
              <w:pStyle w:val="Style4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не применимо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Default="0081068B" w:rsidP="00CC6946">
            <w:pPr>
              <w:pStyle w:val="Style4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не применимо</w:t>
            </w:r>
          </w:p>
        </w:tc>
      </w:tr>
      <w:tr w:rsidR="0081068B" w:rsidRPr="00FD7FBB" w:rsidTr="007E0E3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5"/>
              <w:widowControl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Уровень капитала, в который инструмент включается после окончания переходного периода «Базель III»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81068B">
            <w:pPr>
              <w:pStyle w:val="Style4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базовый капитал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Default="0081068B" w:rsidP="0081068B">
            <w:pPr>
              <w:pStyle w:val="Style4"/>
              <w:widowControl/>
              <w:jc w:val="center"/>
              <w:rPr>
                <w:sz w:val="28"/>
              </w:rPr>
            </w:pPr>
          </w:p>
          <w:p w:rsidR="0081068B" w:rsidRPr="00FD7FBB" w:rsidRDefault="0081068B" w:rsidP="0081068B">
            <w:pPr>
              <w:pStyle w:val="Style4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дополнительный</w:t>
            </w:r>
            <w:r w:rsidRPr="00FD7FBB">
              <w:rPr>
                <w:sz w:val="28"/>
              </w:rPr>
              <w:t xml:space="preserve"> капитал</w:t>
            </w:r>
          </w:p>
        </w:tc>
      </w:tr>
      <w:tr w:rsidR="0081068B" w:rsidRPr="00FD7FBB" w:rsidTr="00CC694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Уровень консолидации, на котором инструмент включается в капитал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4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на индивидуальной основе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CC6946">
            <w:pPr>
              <w:pStyle w:val="Style4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на индивидуальной основе</w:t>
            </w:r>
          </w:p>
        </w:tc>
      </w:tr>
      <w:tr w:rsidR="0081068B" w:rsidRPr="00FD7FBB" w:rsidTr="00CC694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Тип инструмента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4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доли в уставном капитале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CC6946">
            <w:pPr>
              <w:pStyle w:val="Style4"/>
              <w:widowControl/>
              <w:jc w:val="center"/>
              <w:rPr>
                <w:sz w:val="28"/>
              </w:rPr>
            </w:pPr>
            <w:r w:rsidRPr="0081068B">
              <w:rPr>
                <w:sz w:val="28"/>
              </w:rPr>
              <w:t>субординированный кредит (депозит, заем)</w:t>
            </w:r>
          </w:p>
        </w:tc>
      </w:tr>
      <w:tr w:rsidR="0081068B" w:rsidRPr="00FD7FBB" w:rsidTr="00CC694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Стоимость инструмента, включенная в расчет капитала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4E6C11" w:rsidRDefault="0081068B" w:rsidP="00B623B3">
            <w:pPr>
              <w:pStyle w:val="Style4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  <w:lang w:val="en-US"/>
              </w:rPr>
              <w:t>320</w:t>
            </w:r>
            <w:r>
              <w:rPr>
                <w:sz w:val="28"/>
                <w:lang w:val="en-US"/>
              </w:rPr>
              <w:t> </w:t>
            </w:r>
            <w:r w:rsidRPr="00FD7FBB">
              <w:rPr>
                <w:sz w:val="28"/>
                <w:lang w:val="en-US"/>
              </w:rPr>
              <w:t>018</w:t>
            </w:r>
            <w:r>
              <w:rPr>
                <w:sz w:val="28"/>
              </w:rPr>
              <w:t xml:space="preserve"> тысяч рублей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CC6946">
            <w:pPr>
              <w:pStyle w:val="Style4"/>
              <w:widowControl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400</w:t>
            </w:r>
            <w:r>
              <w:rPr>
                <w:sz w:val="28"/>
                <w:lang w:val="en-US"/>
              </w:rPr>
              <w:t> </w:t>
            </w:r>
            <w:r>
              <w:rPr>
                <w:sz w:val="28"/>
              </w:rPr>
              <w:t>000 тысяч рублей</w:t>
            </w:r>
          </w:p>
        </w:tc>
      </w:tr>
      <w:tr w:rsidR="0081068B" w:rsidRPr="00FD7FBB" w:rsidTr="00CC694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Номинальная стоимость инструмента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B623B3">
            <w:pPr>
              <w:pStyle w:val="Style4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320 018</w:t>
            </w:r>
            <w:r>
              <w:rPr>
                <w:sz w:val="28"/>
              </w:rPr>
              <w:t xml:space="preserve"> тысяч </w:t>
            </w:r>
            <w:r w:rsidRPr="00FD7FBB">
              <w:rPr>
                <w:sz w:val="28"/>
              </w:rPr>
              <w:t>российских рублей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CC6946">
            <w:pPr>
              <w:pStyle w:val="Style4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400</w:t>
            </w:r>
            <w:r>
              <w:rPr>
                <w:sz w:val="28"/>
                <w:lang w:val="en-US"/>
              </w:rPr>
              <w:t> </w:t>
            </w:r>
            <w:r>
              <w:rPr>
                <w:sz w:val="28"/>
              </w:rPr>
              <w:t xml:space="preserve">000 тысяч </w:t>
            </w:r>
            <w:r w:rsidR="00CC6946">
              <w:rPr>
                <w:sz w:val="28"/>
              </w:rPr>
              <w:t xml:space="preserve">российских </w:t>
            </w:r>
            <w:r>
              <w:rPr>
                <w:sz w:val="28"/>
              </w:rPr>
              <w:t>рублей</w:t>
            </w:r>
          </w:p>
        </w:tc>
      </w:tr>
      <w:tr w:rsidR="0081068B" w:rsidRPr="00FD7FBB" w:rsidTr="007E0E34">
        <w:trPr>
          <w:trHeight w:val="7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10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Классификация инструмента для целей бухгалтерского учета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4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акционерный капитал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CC6946" w:rsidP="00084227">
            <w:pPr>
              <w:pStyle w:val="Style4"/>
              <w:widowControl/>
              <w:jc w:val="center"/>
              <w:rPr>
                <w:sz w:val="28"/>
              </w:rPr>
            </w:pPr>
            <w:r w:rsidRPr="00CC6946">
              <w:rPr>
                <w:sz w:val="28"/>
              </w:rPr>
              <w:t xml:space="preserve">обязательство, </w:t>
            </w:r>
            <w:r w:rsidRPr="00084227">
              <w:rPr>
                <w:sz w:val="28"/>
              </w:rPr>
              <w:t>учитываемое по амортизированной</w:t>
            </w:r>
            <w:r w:rsidR="00084227" w:rsidRPr="00084227">
              <w:rPr>
                <w:sz w:val="28"/>
              </w:rPr>
              <w:t xml:space="preserve"> </w:t>
            </w:r>
            <w:r w:rsidRPr="00CC6946">
              <w:rPr>
                <w:sz w:val="28"/>
              </w:rPr>
              <w:t>стоимости</w:t>
            </w:r>
          </w:p>
        </w:tc>
      </w:tr>
      <w:tr w:rsidR="0081068B" w:rsidRPr="00FD7FBB" w:rsidTr="00CC694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11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Дата выпуска (привлечения, размещения) инструмента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B623B3">
            <w:pPr>
              <w:pStyle w:val="Style4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10.12.2013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Default="007E0E34" w:rsidP="00CC6946">
            <w:pPr>
              <w:pStyle w:val="Style4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20.07.2018</w:t>
            </w:r>
          </w:p>
        </w:tc>
      </w:tr>
      <w:tr w:rsidR="0081068B" w:rsidRPr="00FD7FBB" w:rsidTr="007E0E3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12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Наличие срока по инструменту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4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бессрочный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7E0E34" w:rsidP="00E82985">
            <w:pPr>
              <w:pStyle w:val="Style4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срочный</w:t>
            </w:r>
          </w:p>
        </w:tc>
      </w:tr>
      <w:tr w:rsidR="0081068B" w:rsidRPr="00FD7FBB" w:rsidTr="007E0E3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13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Дата погашения инструмента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4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без ограничения срока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7E0E34" w:rsidP="00E82985">
            <w:pPr>
              <w:pStyle w:val="Style4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09.07.2028</w:t>
            </w:r>
          </w:p>
        </w:tc>
      </w:tr>
      <w:tr w:rsidR="0081068B" w:rsidRPr="00FD7FBB" w:rsidTr="007E0E3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14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5"/>
              <w:widowControl/>
              <w:spacing w:line="269" w:lineRule="exact"/>
              <w:ind w:left="5" w:hanging="5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 xml:space="preserve">Наличие права досрочного выкупа (погашения) инструмента, согласованного </w:t>
            </w:r>
            <w:r w:rsidRPr="00FD7FBB">
              <w:rPr>
                <w:rStyle w:val="FontStyle11"/>
                <w:sz w:val="28"/>
                <w:lang w:val="en-US"/>
              </w:rPr>
              <w:t>c</w:t>
            </w:r>
            <w:r w:rsidRPr="00FD7FBB">
              <w:rPr>
                <w:rStyle w:val="FontStyle11"/>
                <w:sz w:val="28"/>
              </w:rPr>
              <w:t xml:space="preserve"> Банком России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4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нет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7E0E34" w:rsidP="00E82985">
            <w:pPr>
              <w:pStyle w:val="Style4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81068B" w:rsidRPr="00FD7FBB" w:rsidTr="007E0E3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15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5"/>
              <w:widowControl/>
              <w:ind w:left="5" w:hanging="5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Первоначальная дата (даты) возможной реализации права досрочного выкупа (погашения) инструмента, условия реализации такого права и сумма выкупа (погашения)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7E0E34" w:rsidP="00E82985">
            <w:pPr>
              <w:jc w:val="center"/>
              <w:rPr>
                <w:sz w:val="28"/>
              </w:rPr>
            </w:pPr>
            <w:r w:rsidRPr="007E0E34">
              <w:rPr>
                <w:sz w:val="28"/>
              </w:rPr>
              <w:t>Досрочный возврат субординированного депозита (его части) возможен не ранее чем через 5 лет с даты включения субординированного депозита в состав источников дополнительного капитала Банка в соответствии с п.п. 3.1.8.4 п. 3 Положения № 395-П</w:t>
            </w:r>
          </w:p>
        </w:tc>
      </w:tr>
      <w:tr w:rsidR="0081068B" w:rsidRPr="00FD7FBB" w:rsidTr="00CC694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16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5"/>
              <w:widowControl/>
              <w:spacing w:line="278" w:lineRule="exact"/>
              <w:ind w:left="5" w:hanging="5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Последующая дата (даты) реализации права досрочного выкупа (погашения) инструмента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7E0E34" w:rsidP="00CC6946">
            <w:pPr>
              <w:jc w:val="center"/>
              <w:rPr>
                <w:sz w:val="28"/>
              </w:rPr>
            </w:pPr>
            <w:r w:rsidRPr="007E0E34">
              <w:rPr>
                <w:sz w:val="28"/>
              </w:rPr>
              <w:t>см. пункт 15</w:t>
            </w:r>
          </w:p>
        </w:tc>
      </w:tr>
      <w:tr w:rsidR="0081068B" w:rsidRPr="00FD7FBB" w:rsidTr="007E0E34">
        <w:tc>
          <w:tcPr>
            <w:tcW w:w="8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9C4C7D">
            <w:pPr>
              <w:pStyle w:val="Style3"/>
              <w:widowControl/>
              <w:spacing w:line="240" w:lineRule="auto"/>
              <w:ind w:firstLine="1134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Проценты/дивиденды/купонный доход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81068B" w:rsidP="009C4C7D">
            <w:pPr>
              <w:pStyle w:val="Style3"/>
              <w:widowControl/>
              <w:spacing w:line="240" w:lineRule="auto"/>
              <w:ind w:firstLine="1134"/>
              <w:jc w:val="left"/>
              <w:rPr>
                <w:rStyle w:val="FontStyle11"/>
                <w:sz w:val="28"/>
              </w:rPr>
            </w:pPr>
          </w:p>
        </w:tc>
      </w:tr>
      <w:tr w:rsidR="0081068B" w:rsidRPr="00FD7FBB" w:rsidTr="007E0E3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17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Тип ставки по инструменту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4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7E0E34" w:rsidP="00E82985">
            <w:pPr>
              <w:pStyle w:val="Style4"/>
              <w:widowControl/>
              <w:jc w:val="center"/>
              <w:rPr>
                <w:sz w:val="28"/>
              </w:rPr>
            </w:pPr>
            <w:r w:rsidRPr="007E0E34">
              <w:rPr>
                <w:sz w:val="28"/>
              </w:rPr>
              <w:t>фиксированная ставка</w:t>
            </w:r>
          </w:p>
        </w:tc>
      </w:tr>
      <w:tr w:rsidR="0081068B" w:rsidRPr="00FD7FBB" w:rsidTr="007E0E3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18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Ставка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4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7E0E34" w:rsidP="00E82985">
            <w:pPr>
              <w:pStyle w:val="Style4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9,00 %</w:t>
            </w:r>
          </w:p>
        </w:tc>
      </w:tr>
      <w:tr w:rsidR="0081068B" w:rsidRPr="00FD7FBB" w:rsidTr="00CC694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19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Наличие условий прекращения выплат дивидендов по обыкновенным акциям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нет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7E0E34" w:rsidP="00CC6946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</w:tr>
      <w:tr w:rsidR="0081068B" w:rsidRPr="00FD7FBB" w:rsidTr="00CC694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20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Обязательность выплат дивидендов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452FC7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 xml:space="preserve">полностью по усмотрению кредитной организации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7E0E34" w:rsidP="00CC6946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</w:tr>
      <w:tr w:rsidR="0081068B" w:rsidRPr="00FD7FBB" w:rsidTr="00CC694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21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78" w:lineRule="exact"/>
              <w:ind w:left="5" w:hanging="5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Наличие условий, предусматривающих увеличение платежей по инструменту или иных стимулов к досрочному выкупу (погашению) инструмента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нет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7E0E34" w:rsidP="00CC6946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нет</w:t>
            </w:r>
          </w:p>
        </w:tc>
      </w:tr>
      <w:tr w:rsidR="0081068B" w:rsidRPr="00FD7FBB" w:rsidTr="007E0E3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22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Характер выплат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некумулятивный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7E0E34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некумулятивный</w:t>
            </w:r>
          </w:p>
        </w:tc>
      </w:tr>
      <w:tr w:rsidR="0081068B" w:rsidRPr="00FD7FBB" w:rsidTr="007E0E3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23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Конвертируемость инструмента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7E6DFA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неконвертируемый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7E0E34" w:rsidP="007E6DFA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неконвертируемый</w:t>
            </w:r>
          </w:p>
        </w:tc>
      </w:tr>
      <w:tr w:rsidR="007E0E34" w:rsidRPr="00FD7FBB" w:rsidTr="007E0E3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24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Условия, при наступлении которых осуществляется конвертация инструмента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F83CD7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</w:tr>
      <w:tr w:rsidR="007E0E34" w:rsidRPr="00FD7FBB" w:rsidTr="007E0E3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25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Полная либо частичная конвертация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F83CD7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</w:tr>
      <w:tr w:rsidR="007E0E34" w:rsidRPr="00FD7FBB" w:rsidTr="007E0E3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26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Ставка конвертации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F83CD7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</w:tr>
      <w:tr w:rsidR="007E0E34" w:rsidRPr="00FD7FBB" w:rsidTr="007E0E3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27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Обязательность конвертации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F83CD7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</w:tr>
      <w:tr w:rsidR="007E0E34" w:rsidRPr="00FD7FBB" w:rsidTr="007E0E3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28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 xml:space="preserve">Уровень капитала, в инструмент </w:t>
            </w:r>
            <w:r w:rsidRPr="00FD7FBB">
              <w:rPr>
                <w:rStyle w:val="FontStyle11"/>
                <w:sz w:val="28"/>
              </w:rPr>
              <w:lastRenderedPageBreak/>
              <w:t>которого конвертируется инструмент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lastRenderedPageBreak/>
              <w:t>не применимо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F83CD7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</w:tr>
      <w:tr w:rsidR="007E0E34" w:rsidRPr="00FD7FBB" w:rsidTr="007E0E3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29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DA1DCC">
            <w:pPr>
              <w:pStyle w:val="Style3"/>
              <w:widowControl/>
              <w:ind w:right="1138" w:firstLine="5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Сокращенное фирменное наименование эмитента инструмента, в который конвертируется инструмент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F83CD7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</w:tr>
      <w:tr w:rsidR="0081068B" w:rsidRPr="00FD7FBB" w:rsidTr="008F629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30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Возможность списания инструмента на покрытие убытков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нет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7E0E34" w:rsidP="008F6292">
            <w:pPr>
              <w:pStyle w:val="Style2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81068B" w:rsidRPr="00FD7FBB" w:rsidTr="008F629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31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Условия, при наступлении которых осуществляется списание инструмента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E34" w:rsidRPr="007E0E34" w:rsidRDefault="007E0E34" w:rsidP="008F6292">
            <w:pPr>
              <w:pStyle w:val="Style2"/>
              <w:widowControl/>
              <w:rPr>
                <w:sz w:val="28"/>
              </w:rPr>
            </w:pPr>
            <w:r w:rsidRPr="007E0E34">
              <w:rPr>
                <w:sz w:val="28"/>
              </w:rPr>
              <w:t xml:space="preserve">В случае наступления одного из двух следующих событий: </w:t>
            </w:r>
          </w:p>
          <w:p w:rsidR="008F6292" w:rsidRDefault="008F6292" w:rsidP="008F6292">
            <w:pPr>
              <w:pStyle w:val="Style2"/>
              <w:widowControl/>
              <w:rPr>
                <w:sz w:val="28"/>
              </w:rPr>
            </w:pPr>
            <w:r>
              <w:rPr>
                <w:sz w:val="28"/>
              </w:rPr>
              <w:t>1)</w:t>
            </w:r>
            <w:r w:rsidR="007E0E34" w:rsidRPr="007E0E34">
              <w:rPr>
                <w:sz w:val="28"/>
              </w:rPr>
              <w:t xml:space="preserve"> значение норматива достаточности базового капитала, рассчитанное Банком в соответствии с Инструкцией Банка России N 1</w:t>
            </w:r>
            <w:r w:rsidR="001D61EF">
              <w:rPr>
                <w:sz w:val="28"/>
                <w:lang w:val="en-US"/>
              </w:rPr>
              <w:t>80</w:t>
            </w:r>
            <w:bookmarkStart w:id="0" w:name="_GoBack"/>
            <w:bookmarkEnd w:id="0"/>
            <w:r w:rsidR="007E0E34" w:rsidRPr="007E0E34">
              <w:rPr>
                <w:sz w:val="28"/>
              </w:rPr>
              <w:t xml:space="preserve">-И, достигло уровня ниже 2 (двух) процентов в совокупности за шесть и более операционных дней в течение любых 30 (тридцати) последовательных операционных дней </w:t>
            </w:r>
            <w:r>
              <w:rPr>
                <w:sz w:val="28"/>
              </w:rPr>
              <w:t>или</w:t>
            </w:r>
          </w:p>
          <w:p w:rsidR="0081068B" w:rsidRPr="00FD7FBB" w:rsidRDefault="008F6292" w:rsidP="008F6292">
            <w:pPr>
              <w:pStyle w:val="Style2"/>
              <w:widowControl/>
              <w:rPr>
                <w:sz w:val="28"/>
              </w:rPr>
            </w:pPr>
            <w:r>
              <w:rPr>
                <w:sz w:val="28"/>
              </w:rPr>
              <w:t xml:space="preserve">2) </w:t>
            </w:r>
            <w:r w:rsidR="007E0E34" w:rsidRPr="007E0E34">
              <w:rPr>
                <w:sz w:val="28"/>
              </w:rPr>
              <w:t>утверждение Советом директоров Банка России плана участия Банка России в осуществлении мер по предупреждению банкротства Б</w:t>
            </w:r>
            <w:r>
              <w:rPr>
                <w:sz w:val="28"/>
              </w:rPr>
              <w:t>анка</w:t>
            </w:r>
            <w:r w:rsidR="007E0E34" w:rsidRPr="007E0E34">
              <w:rPr>
                <w:sz w:val="28"/>
              </w:rPr>
              <w:t xml:space="preserve"> или утверждение Комитетом банковского надзора Банка России (а в случае, предусмотренном абзацем вторым пункта 3 статьи 189.49 Федерального закона «О несостоятельности (банкротстве)», </w:t>
            </w:r>
            <w:r>
              <w:rPr>
                <w:sz w:val="28"/>
              </w:rPr>
              <w:t xml:space="preserve">а </w:t>
            </w:r>
            <w:r w:rsidR="007E0E34" w:rsidRPr="007E0E34">
              <w:rPr>
                <w:sz w:val="28"/>
              </w:rPr>
              <w:t>также Советом директоров Банка России) плана участия Агентства по страхованию вкладов в осуществлении мер по предупреждению банкротства Б</w:t>
            </w:r>
            <w:r>
              <w:rPr>
                <w:sz w:val="28"/>
              </w:rPr>
              <w:t>анка</w:t>
            </w:r>
            <w:r w:rsidR="007E0E34" w:rsidRPr="007E0E34">
              <w:rPr>
                <w:sz w:val="28"/>
              </w:rPr>
              <w:t>, предусматривающих оказание Банком России или Агентством по страхованию вкладов финансовой помощи в соответствии с Федеральным законом от 26.10.2002 N 127-ФЗ «О несостоятельн</w:t>
            </w:r>
            <w:r>
              <w:rPr>
                <w:sz w:val="28"/>
              </w:rPr>
              <w:t>ости (банкротстве)»</w:t>
            </w:r>
          </w:p>
        </w:tc>
      </w:tr>
      <w:tr w:rsidR="0081068B" w:rsidRPr="00FD7FBB" w:rsidTr="007E0E3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32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Полное или частичное списание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7E0E34" w:rsidP="007E0E34">
            <w:pPr>
              <w:pStyle w:val="Style2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полное или частичное</w:t>
            </w:r>
          </w:p>
        </w:tc>
      </w:tr>
      <w:tr w:rsidR="0081068B" w:rsidRPr="00FD7FBB" w:rsidTr="007E0E3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33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Постоянное или временное списание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7E0E34" w:rsidP="00E82985">
            <w:pPr>
              <w:pStyle w:val="Style2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постоянное</w:t>
            </w:r>
          </w:p>
        </w:tc>
      </w:tr>
      <w:tr w:rsidR="0081068B" w:rsidRPr="00FD7FBB" w:rsidTr="007E0E3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34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Механизм восстановления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7E0E34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</w:tr>
      <w:tr w:rsidR="0081068B" w:rsidRPr="00FD7FBB" w:rsidTr="007E0E3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35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Субординированность инструмента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7E0E34" w:rsidP="00E82985">
            <w:pPr>
              <w:pStyle w:val="Style2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81068B" w:rsidRPr="00FD7FBB" w:rsidTr="007E0E34">
        <w:trPr>
          <w:trHeight w:val="30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81068B" w:rsidP="002760F1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36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ind w:firstLine="5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Соответствие требованиям Положения Банка России № 395-П и Положения Банка России № 509-П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да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46" w:rsidRDefault="00CC6946" w:rsidP="00CC6946">
            <w:r>
              <w:t xml:space="preserve">                                 </w:t>
            </w:r>
          </w:p>
          <w:p w:rsidR="0081068B" w:rsidRPr="00CC6946" w:rsidRDefault="00CC6946" w:rsidP="00CC6946">
            <w:pPr>
              <w:rPr>
                <w:sz w:val="28"/>
                <w:szCs w:val="28"/>
              </w:rPr>
            </w:pPr>
            <w:r w:rsidRPr="00CC6946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CC6946">
              <w:rPr>
                <w:sz w:val="28"/>
                <w:szCs w:val="28"/>
              </w:rPr>
              <w:t xml:space="preserve">     </w:t>
            </w:r>
            <w:r w:rsidR="007E0E34" w:rsidRPr="00CC6946">
              <w:rPr>
                <w:sz w:val="28"/>
                <w:szCs w:val="28"/>
              </w:rPr>
              <w:t>да</w:t>
            </w:r>
          </w:p>
        </w:tc>
      </w:tr>
      <w:tr w:rsidR="0081068B" w:rsidRPr="00FD7FBB" w:rsidTr="007E0E3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81068B" w:rsidP="002760F1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37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Описание несоответствий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7E0E34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</w:tr>
    </w:tbl>
    <w:p w:rsidR="002760F1" w:rsidRDefault="002760F1" w:rsidP="002760F1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2760F1" w:rsidRPr="00164120" w:rsidRDefault="002760F1" w:rsidP="002760F1">
      <w:pPr>
        <w:pStyle w:val="Style1"/>
        <w:widowControl/>
        <w:spacing w:before="10"/>
        <w:jc w:val="both"/>
        <w:rPr>
          <w:rStyle w:val="FontStyle11"/>
          <w:sz w:val="20"/>
        </w:rPr>
      </w:pPr>
      <w:r w:rsidRPr="00164120">
        <w:rPr>
          <w:rStyle w:val="FontStyle11"/>
          <w:sz w:val="20"/>
        </w:rPr>
        <w:t>Примечание: полная информация об условиях выпуска (привлечения) инструментов капитала, а также актуальная информация раздела 5 Отчета</w:t>
      </w:r>
    </w:p>
    <w:p w:rsidR="002760F1" w:rsidRPr="00164120" w:rsidRDefault="002760F1" w:rsidP="002760F1">
      <w:pPr>
        <w:pStyle w:val="Style1"/>
        <w:widowControl/>
        <w:tabs>
          <w:tab w:val="left" w:leader="underscore" w:pos="11074"/>
        </w:tabs>
        <w:spacing w:before="24"/>
        <w:rPr>
          <w:rStyle w:val="FontStyle11"/>
          <w:sz w:val="20"/>
        </w:rPr>
      </w:pPr>
      <w:r w:rsidRPr="00164120">
        <w:rPr>
          <w:rStyle w:val="FontStyle11"/>
          <w:sz w:val="20"/>
        </w:rPr>
        <w:t xml:space="preserve">приведена в разделе «Раскрытие регуляторной информации» сайта </w:t>
      </w:r>
      <w:r w:rsidRPr="00164120">
        <w:rPr>
          <w:rStyle w:val="FontStyle11"/>
          <w:sz w:val="20"/>
        </w:rPr>
        <w:tab/>
        <w:t>.</w:t>
      </w:r>
    </w:p>
    <w:p w:rsidR="002760F1" w:rsidRDefault="002760F1" w:rsidP="002760F1">
      <w:pPr>
        <w:pStyle w:val="Style4"/>
        <w:widowControl/>
        <w:ind w:left="7334"/>
        <w:rPr>
          <w:sz w:val="2"/>
          <w:szCs w:val="2"/>
        </w:rPr>
      </w:pPr>
      <w:r w:rsidRPr="00164120">
        <w:rPr>
          <w:rStyle w:val="FontStyle12"/>
          <w:sz w:val="18"/>
        </w:rPr>
        <w:t>(ссылка на сайт кредитной организации)</w:t>
      </w:r>
    </w:p>
    <w:p w:rsidR="00575395" w:rsidRDefault="00575395">
      <w:pPr>
        <w:widowControl/>
        <w:spacing w:line="1" w:lineRule="exact"/>
        <w:rPr>
          <w:sz w:val="2"/>
          <w:szCs w:val="2"/>
        </w:rPr>
      </w:pPr>
    </w:p>
    <w:sectPr w:rsidR="00575395" w:rsidSect="00FD7FBB">
      <w:type w:val="continuous"/>
      <w:pgSz w:w="16837" w:h="23810"/>
      <w:pgMar w:top="1134" w:right="729" w:bottom="1440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CD8" w:rsidRDefault="00BD4CD8">
      <w:r>
        <w:separator/>
      </w:r>
    </w:p>
  </w:endnote>
  <w:endnote w:type="continuationSeparator" w:id="0">
    <w:p w:rsidR="00BD4CD8" w:rsidRDefault="00BD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CD8" w:rsidRDefault="00BD4CD8">
      <w:r>
        <w:separator/>
      </w:r>
    </w:p>
  </w:footnote>
  <w:footnote w:type="continuationSeparator" w:id="0">
    <w:p w:rsidR="00BD4CD8" w:rsidRDefault="00BD4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95"/>
    <w:rsid w:val="000026E0"/>
    <w:rsid w:val="0007787E"/>
    <w:rsid w:val="00084227"/>
    <w:rsid w:val="00140BF1"/>
    <w:rsid w:val="00164120"/>
    <w:rsid w:val="001809A8"/>
    <w:rsid w:val="001C7BBA"/>
    <w:rsid w:val="001D61EF"/>
    <w:rsid w:val="00234944"/>
    <w:rsid w:val="002760F1"/>
    <w:rsid w:val="00296003"/>
    <w:rsid w:val="002C2A39"/>
    <w:rsid w:val="0038143E"/>
    <w:rsid w:val="0039776D"/>
    <w:rsid w:val="003A386B"/>
    <w:rsid w:val="003E3654"/>
    <w:rsid w:val="00452FC7"/>
    <w:rsid w:val="00485A26"/>
    <w:rsid w:val="004D018C"/>
    <w:rsid w:val="004E6C11"/>
    <w:rsid w:val="00575395"/>
    <w:rsid w:val="006C6CBA"/>
    <w:rsid w:val="00716265"/>
    <w:rsid w:val="0076504D"/>
    <w:rsid w:val="007E0E34"/>
    <w:rsid w:val="007E6DFA"/>
    <w:rsid w:val="007F6190"/>
    <w:rsid w:val="0081068B"/>
    <w:rsid w:val="008F6292"/>
    <w:rsid w:val="00973A52"/>
    <w:rsid w:val="009B1782"/>
    <w:rsid w:val="009C4C7D"/>
    <w:rsid w:val="00A06F7A"/>
    <w:rsid w:val="00A6043C"/>
    <w:rsid w:val="00A82623"/>
    <w:rsid w:val="00AE3793"/>
    <w:rsid w:val="00B33B4E"/>
    <w:rsid w:val="00B623B3"/>
    <w:rsid w:val="00B964FB"/>
    <w:rsid w:val="00BA0369"/>
    <w:rsid w:val="00BD4CD8"/>
    <w:rsid w:val="00CB0C07"/>
    <w:rsid w:val="00CB1D6D"/>
    <w:rsid w:val="00CC6946"/>
    <w:rsid w:val="00D576CD"/>
    <w:rsid w:val="00D57BEC"/>
    <w:rsid w:val="00DA1DCC"/>
    <w:rsid w:val="00DC51CF"/>
    <w:rsid w:val="00E23363"/>
    <w:rsid w:val="00E53536"/>
    <w:rsid w:val="00E82985"/>
    <w:rsid w:val="00EC1FBE"/>
    <w:rsid w:val="00F50E29"/>
    <w:rsid w:val="00F75914"/>
    <w:rsid w:val="00FD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307B528"/>
  <w15:docId w15:val="{A3F66A18-90DA-466E-9C43-66072CC6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74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4" w:lineRule="exact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38143E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2760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60F1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760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760F1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 Виктор Александрович</dc:creator>
  <cp:lastModifiedBy>Царбаев Рамиль Равилевич</cp:lastModifiedBy>
  <cp:revision>4</cp:revision>
  <dcterms:created xsi:type="dcterms:W3CDTF">2018-07-20T11:33:00Z</dcterms:created>
  <dcterms:modified xsi:type="dcterms:W3CDTF">2018-07-20T14:28:00Z</dcterms:modified>
</cp:coreProperties>
</file>